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Судебная практика по налогообложению</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«Судебная практика по налогообложению».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по налогообложению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К.М.03.06 «Судебная практика по налогообложению»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718.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 ретроспективности изменений судебной практики. Сила правовых позиций Конституционного Суда по вопросам налогового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pPr>
              <w:jc w:val="both"/>
              <w:spacing w:after="0" w:line="240" w:lineRule="auto"/>
              <w:rPr>
                <w:sz w:val="24"/>
                <w:szCs w:val="24"/>
              </w:rPr>
            </w:pPr>
            <w:r>
              <w:rPr>
                <w:rFonts w:ascii="Times New Roman" w:hAnsi="Times New Roman" w:cs="Times New Roman"/>
                <w:color w:val="#000000"/>
                <w:sz w:val="24"/>
                <w:szCs w:val="24"/>
              </w:rPr>
              <w:t> 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налогового права России. Система источников налогового права.</w:t>
            </w:r>
          </w:p>
          <w:p>
            <w:pPr>
              <w:jc w:val="both"/>
              <w:spacing w:after="0" w:line="240" w:lineRule="auto"/>
              <w:rPr>
                <w:sz w:val="24"/>
                <w:szCs w:val="24"/>
              </w:rPr>
            </w:pPr>
            <w:r>
              <w:rPr>
                <w:rFonts w:ascii="Times New Roman" w:hAnsi="Times New Roman" w:cs="Times New Roman"/>
                <w:color w:val="#000000"/>
                <w:sz w:val="24"/>
                <w:szCs w:val="24"/>
              </w:rPr>
              <w:t> 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органов по вопросам применения норм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Правовые позиции высших судов в системе правового регулирования налоговых отношений.</w:t>
            </w:r>
          </w:p>
          <w:p>
            <w:pPr>
              <w:jc w:val="both"/>
              <w:spacing w:after="0" w:line="240" w:lineRule="auto"/>
              <w:rPr>
                <w:sz w:val="24"/>
                <w:szCs w:val="24"/>
              </w:rPr>
            </w:pPr>
            <w:r>
              <w:rPr>
                <w:rFonts w:ascii="Times New Roman" w:hAnsi="Times New Roman" w:cs="Times New Roman"/>
                <w:color w:val="#000000"/>
                <w:sz w:val="24"/>
                <w:szCs w:val="24"/>
              </w:rPr>
              <w:t> 5.	Действие актов правоприменительной практики во времени.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риски: понятие, классификация. Методики управления налоговыми рисками.</w:t>
            </w:r>
          </w:p>
          <w:p>
            <w:pPr>
              <w:jc w:val="both"/>
              <w:spacing w:after="0" w:line="240" w:lineRule="auto"/>
              <w:rPr>
                <w:sz w:val="24"/>
                <w:szCs w:val="24"/>
              </w:rPr>
            </w:pPr>
            <w:r>
              <w:rPr>
                <w:rFonts w:ascii="Times New Roman" w:hAnsi="Times New Roman" w:cs="Times New Roman"/>
                <w:color w:val="#000000"/>
                <w:sz w:val="24"/>
                <w:szCs w:val="24"/>
              </w:rPr>
              <w:t> 2. Налоговая оптимизация: ограничения в использовании методов законной оптимизации налогообложения, пределы налоговой оптимизации.</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и налоговых органов как элемент контроля налоговых рисков. Процедура запроса.</w:t>
            </w:r>
          </w:p>
          <w:p>
            <w:pPr>
              <w:jc w:val="both"/>
              <w:spacing w:after="0" w:line="240" w:lineRule="auto"/>
              <w:rPr>
                <w:sz w:val="24"/>
                <w:szCs w:val="24"/>
              </w:rPr>
            </w:pPr>
            <w:r>
              <w:rPr>
                <w:rFonts w:ascii="Times New Roman" w:hAnsi="Times New Roman" w:cs="Times New Roman"/>
                <w:color w:val="#000000"/>
                <w:sz w:val="24"/>
                <w:szCs w:val="24"/>
              </w:rPr>
              <w:t> 4. Изменения в судебной практике как фактор налоговых рисков. Проблема ретроспективности изменений судебной практики.</w:t>
            </w:r>
          </w:p>
          <w:p>
            <w:pPr>
              <w:jc w:val="both"/>
              <w:spacing w:after="0" w:line="240" w:lineRule="auto"/>
              <w:rPr>
                <w:sz w:val="24"/>
                <w:szCs w:val="24"/>
              </w:rPr>
            </w:pPr>
            <w:r>
              <w:rPr>
                <w:rFonts w:ascii="Times New Roman" w:hAnsi="Times New Roman" w:cs="Times New Roman"/>
                <w:color w:val="#000000"/>
                <w:sz w:val="24"/>
                <w:szCs w:val="24"/>
              </w:rPr>
              <w:t> 5. Сила правовых позиций Конституционного Суда по вопросам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споры: понятие, классификация.</w:t>
            </w:r>
          </w:p>
          <w:p>
            <w:pPr>
              <w:jc w:val="both"/>
              <w:spacing w:after="0" w:line="240" w:lineRule="auto"/>
              <w:rPr>
                <w:sz w:val="24"/>
                <w:szCs w:val="24"/>
              </w:rPr>
            </w:pPr>
            <w:r>
              <w:rPr>
                <w:rFonts w:ascii="Times New Roman" w:hAnsi="Times New Roman" w:cs="Times New Roman"/>
                <w:color w:val="#000000"/>
                <w:sz w:val="24"/>
                <w:szCs w:val="24"/>
              </w:rPr>
              <w:t> 2.Защита прав налогоплательщиков: понятие, порядок. Внесудебный порядок разрешения налоговых споров. Право на обжалование.</w:t>
            </w:r>
          </w:p>
          <w:p>
            <w:pPr>
              <w:jc w:val="both"/>
              <w:spacing w:after="0" w:line="240" w:lineRule="auto"/>
              <w:rPr>
                <w:sz w:val="24"/>
                <w:szCs w:val="24"/>
              </w:rPr>
            </w:pPr>
            <w:r>
              <w:rPr>
                <w:rFonts w:ascii="Times New Roman" w:hAnsi="Times New Roman" w:cs="Times New Roman"/>
                <w:color w:val="#000000"/>
                <w:sz w:val="24"/>
                <w:szCs w:val="24"/>
              </w:rPr>
              <w:t> 3. Административный порядок обжалования. Рассмотрение налоговых споров в судах.</w:t>
            </w:r>
          </w:p>
          <w:p>
            <w:pPr>
              <w:jc w:val="both"/>
              <w:spacing w:after="0" w:line="240" w:lineRule="auto"/>
              <w:rPr>
                <w:sz w:val="24"/>
                <w:szCs w:val="24"/>
              </w:rPr>
            </w:pPr>
            <w:r>
              <w:rPr>
                <w:rFonts w:ascii="Times New Roman" w:hAnsi="Times New Roman" w:cs="Times New Roman"/>
                <w:color w:val="#000000"/>
                <w:sz w:val="24"/>
                <w:szCs w:val="24"/>
              </w:rPr>
              <w:t> 4.Налоговые споры, возникающие по инициативе налогоплательщика как форма защиты его прав.</w:t>
            </w:r>
          </w:p>
          <w:p>
            <w:pPr>
              <w:jc w:val="both"/>
              <w:spacing w:after="0" w:line="240" w:lineRule="auto"/>
              <w:rPr>
                <w:sz w:val="24"/>
                <w:szCs w:val="24"/>
              </w:rPr>
            </w:pPr>
            <w:r>
              <w:rPr>
                <w:rFonts w:ascii="Times New Roman" w:hAnsi="Times New Roman" w:cs="Times New Roman"/>
                <w:color w:val="#000000"/>
                <w:sz w:val="24"/>
                <w:szCs w:val="24"/>
              </w:rPr>
              <w:t> 5.Налоговые споры, возникающие по инициативе налоговых органов.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pPr>
              <w:jc w:val="both"/>
              <w:spacing w:after="0" w:line="240" w:lineRule="auto"/>
              <w:rPr>
                <w:sz w:val="24"/>
                <w:szCs w:val="24"/>
              </w:rPr>
            </w:pPr>
            <w:r>
              <w:rPr>
                <w:rFonts w:ascii="Times New Roman" w:hAnsi="Times New Roman" w:cs="Times New Roman"/>
                <w:color w:val="#000000"/>
                <w:sz w:val="24"/>
                <w:szCs w:val="24"/>
              </w:rPr>
              <w:t> 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pPr>
              <w:jc w:val="both"/>
              <w:spacing w:after="0" w:line="240" w:lineRule="auto"/>
              <w:rPr>
                <w:sz w:val="24"/>
                <w:szCs w:val="24"/>
              </w:rPr>
            </w:pPr>
            <w:r>
              <w:rPr>
                <w:rFonts w:ascii="Times New Roman" w:hAnsi="Times New Roman" w:cs="Times New Roman"/>
                <w:color w:val="#000000"/>
                <w:sz w:val="24"/>
                <w:szCs w:val="24"/>
              </w:rPr>
              <w:t> 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pPr>
              <w:jc w:val="both"/>
              <w:spacing w:after="0" w:line="240" w:lineRule="auto"/>
              <w:rPr>
                <w:sz w:val="24"/>
                <w:szCs w:val="24"/>
              </w:rPr>
            </w:pPr>
            <w:r>
              <w:rPr>
                <w:rFonts w:ascii="Times New Roman" w:hAnsi="Times New Roman" w:cs="Times New Roman"/>
                <w:color w:val="#000000"/>
                <w:sz w:val="24"/>
                <w:szCs w:val="24"/>
              </w:rPr>
              <w:t> 4.Защита прав налогоплательщиков при работе с актом проверки. Заявление переплат по налогам в возражениях на акт проверки.</w:t>
            </w:r>
          </w:p>
          <w:p>
            <w:pPr>
              <w:jc w:val="both"/>
              <w:spacing w:after="0" w:line="240" w:lineRule="auto"/>
              <w:rPr>
                <w:sz w:val="24"/>
                <w:szCs w:val="24"/>
              </w:rPr>
            </w:pPr>
            <w:r>
              <w:rPr>
                <w:rFonts w:ascii="Times New Roman" w:hAnsi="Times New Roman" w:cs="Times New Roman"/>
                <w:color w:val="#000000"/>
                <w:sz w:val="24"/>
                <w:szCs w:val="24"/>
              </w:rPr>
              <w:t>  Предоставление дополнительных документов с возражениями на акт проверки.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правонарушения: понятие, классификация. Особенности привлечения налогоплательщика к ответственности за налоговое правонарушение.</w:t>
            </w:r>
          </w:p>
          <w:p>
            <w:pPr>
              <w:jc w:val="both"/>
              <w:spacing w:after="0" w:line="240" w:lineRule="auto"/>
              <w:rPr>
                <w:sz w:val="24"/>
                <w:szCs w:val="24"/>
              </w:rPr>
            </w:pPr>
            <w:r>
              <w:rPr>
                <w:rFonts w:ascii="Times New Roman" w:hAnsi="Times New Roman" w:cs="Times New Roman"/>
                <w:color w:val="#000000"/>
                <w:sz w:val="24"/>
                <w:szCs w:val="24"/>
              </w:rPr>
              <w:t> 2. Производство по делу о налоговом правонарушении. Особенности начисления штрафов и пени.</w:t>
            </w:r>
          </w:p>
          <w:p>
            <w:pPr>
              <w:jc w:val="both"/>
              <w:spacing w:after="0" w:line="240" w:lineRule="auto"/>
              <w:rPr>
                <w:sz w:val="24"/>
                <w:szCs w:val="24"/>
              </w:rPr>
            </w:pPr>
            <w:r>
              <w:rPr>
                <w:rFonts w:ascii="Times New Roman" w:hAnsi="Times New Roman" w:cs="Times New Roman"/>
                <w:color w:val="#000000"/>
                <w:sz w:val="24"/>
                <w:szCs w:val="24"/>
              </w:rPr>
              <w:t> 3. Судебно-арбитражная практика применения норм об ответственности за нарушения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4.Процедурные вопросы взыскания налогов и пеней за счет денежных средств и иного имущества налогоплательщика.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Законное стремление построения бизнеса с наименьшей налоговой нагрузкой и обход закона.</w:t>
            </w:r>
          </w:p>
          <w:p>
            <w:pPr>
              <w:jc w:val="both"/>
              <w:spacing w:after="0" w:line="240" w:lineRule="auto"/>
              <w:rPr>
                <w:sz w:val="24"/>
                <w:szCs w:val="24"/>
              </w:rPr>
            </w:pPr>
            <w:r>
              <w:rPr>
                <w:rFonts w:ascii="Times New Roman" w:hAnsi="Times New Roman" w:cs="Times New Roman"/>
                <w:color w:val="#000000"/>
                <w:sz w:val="24"/>
                <w:szCs w:val="24"/>
              </w:rPr>
              <w:t> 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pPr>
              <w:jc w:val="both"/>
              <w:spacing w:after="0" w:line="240" w:lineRule="auto"/>
              <w:rPr>
                <w:sz w:val="24"/>
                <w:szCs w:val="24"/>
              </w:rPr>
            </w:pPr>
            <w:r>
              <w:rPr>
                <w:rFonts w:ascii="Times New Roman" w:hAnsi="Times New Roman" w:cs="Times New Roman"/>
                <w:color w:val="#000000"/>
                <w:sz w:val="24"/>
                <w:szCs w:val="24"/>
              </w:rPr>
              <w:t> 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pPr>
              <w:jc w:val="both"/>
              <w:spacing w:after="0" w:line="240" w:lineRule="auto"/>
              <w:rPr>
                <w:sz w:val="24"/>
                <w:szCs w:val="24"/>
              </w:rPr>
            </w:pPr>
            <w:r>
              <w:rPr>
                <w:rFonts w:ascii="Times New Roman" w:hAnsi="Times New Roman" w:cs="Times New Roman"/>
                <w:color w:val="#000000"/>
                <w:sz w:val="24"/>
                <w:szCs w:val="24"/>
              </w:rPr>
              <w:t> 5. Положения, направленные на противодействие размыванию налоговой базы и искусственному переносу прибыли в иностранные юрисдикции.</w:t>
            </w:r>
          </w:p>
          <w:p>
            <w:pPr>
              <w:jc w:val="both"/>
              <w:spacing w:after="0" w:line="240" w:lineRule="auto"/>
              <w:rPr>
                <w:sz w:val="24"/>
                <w:szCs w:val="24"/>
              </w:rPr>
            </w:pPr>
            <w:r>
              <w:rPr>
                <w:rFonts w:ascii="Times New Roman" w:hAnsi="Times New Roman" w:cs="Times New Roman"/>
                <w:color w:val="#000000"/>
                <w:sz w:val="24"/>
                <w:szCs w:val="24"/>
              </w:rPr>
              <w:t> 6. Переквалификация и налоговая реконструкция.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«Судебная практика по налогообложению» Круглый стол</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Статья 54.1 НК РФ: новые подходы в борьбе с налоговыми злоупотреблениями: судебная практика</w:t>
            </w:r>
          </w:p>
          <w:p>
            <w:pPr>
              <w:jc w:val="both"/>
              <w:spacing w:after="0" w:line="240" w:lineRule="auto"/>
              <w:rPr>
                <w:sz w:val="24"/>
                <w:szCs w:val="24"/>
              </w:rPr>
            </w:pPr>
            <w:r>
              <w:rPr>
                <w:rFonts w:ascii="Times New Roman" w:hAnsi="Times New Roman" w:cs="Times New Roman"/>
                <w:color w:val="#000000"/>
                <w:sz w:val="24"/>
                <w:szCs w:val="24"/>
              </w:rPr>
              <w:t> 2.	Обязательные платежи вне НК РФ: реформа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Правовые аспекты работы контрольно-аналитических отделов в ИФНС.</w:t>
            </w:r>
          </w:p>
          <w:p>
            <w:pPr>
              <w:jc w:val="both"/>
              <w:spacing w:after="0" w:line="240" w:lineRule="auto"/>
              <w:rPr>
                <w:sz w:val="24"/>
                <w:szCs w:val="24"/>
              </w:rPr>
            </w:pPr>
            <w:r>
              <w:rPr>
                <w:rFonts w:ascii="Times New Roman" w:hAnsi="Times New Roman" w:cs="Times New Roman"/>
                <w:color w:val="#000000"/>
                <w:sz w:val="24"/>
                <w:szCs w:val="24"/>
              </w:rPr>
              <w:t> 4.	Практические особенности взаимодействия налогоплательщиков и налоговых органов по «разрывам» НДС: судебная практика</w:t>
            </w:r>
          </w:p>
          <w:p>
            <w:pPr>
              <w:jc w:val="both"/>
              <w:spacing w:after="0" w:line="240" w:lineRule="auto"/>
              <w:rPr>
                <w:sz w:val="24"/>
                <w:szCs w:val="24"/>
              </w:rPr>
            </w:pPr>
            <w:r>
              <w:rPr>
                <w:rFonts w:ascii="Times New Roman" w:hAnsi="Times New Roman" w:cs="Times New Roman"/>
                <w:color w:val="#000000"/>
                <w:sz w:val="24"/>
                <w:szCs w:val="24"/>
              </w:rPr>
              <w:t> 5.	Пределы компетенций сотрудников ИФНС при осуществлении контрольно- аналитической работы: судебная практика</w:t>
            </w:r>
          </w:p>
          <w:p>
            <w:pPr>
              <w:jc w:val="both"/>
              <w:spacing w:after="0" w:line="240" w:lineRule="auto"/>
              <w:rPr>
                <w:sz w:val="24"/>
                <w:szCs w:val="24"/>
              </w:rPr>
            </w:pPr>
            <w:r>
              <w:rPr>
                <w:rFonts w:ascii="Times New Roman" w:hAnsi="Times New Roman" w:cs="Times New Roman"/>
                <w:color w:val="#000000"/>
                <w:sz w:val="24"/>
                <w:szCs w:val="24"/>
              </w:rPr>
              <w:t> 6.	Порядок подачи в арбитражные суды Российской Федерации документов в электронном виде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Агабекян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2023-2024_ФГОС3++2023_Бак-ОФО-Э(УАиА)(23)_plx_Судебная практика по налогообложению</dc:title>
  <dc:creator>FastReport.NET</dc:creator>
</cp:coreProperties>
</file>